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9AB0" w14:textId="77777777" w:rsidR="00F95B51" w:rsidRDefault="00F95B51" w:rsidP="00F95B51">
      <w:pPr>
        <w:shd w:val="clear" w:color="auto" w:fill="FFFFFF"/>
        <w:spacing w:after="0" w:line="291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</w:pPr>
    </w:p>
    <w:p w14:paraId="5D95303C" w14:textId="380A2C7D" w:rsidR="00F95B51" w:rsidRPr="00F95B51" w:rsidRDefault="00F95B51" w:rsidP="00F95B51">
      <w:pPr>
        <w:shd w:val="clear" w:color="auto" w:fill="FFFFFF"/>
        <w:spacing w:after="0" w:line="291" w:lineRule="atLeast"/>
        <w:textAlignment w:val="baseline"/>
        <w:outlineLvl w:val="0"/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>¿</w:t>
      </w:r>
      <w:proofErr w:type="spellStart"/>
      <w:r w:rsidRPr="00F95B51"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>Cómo</w:t>
      </w:r>
      <w:proofErr w:type="spellEnd"/>
      <w:r w:rsidRPr="00F95B51"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 xml:space="preserve"> es el </w:t>
      </w:r>
      <w:proofErr w:type="spellStart"/>
      <w:r w:rsidRPr="00F95B51"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>sistema</w:t>
      </w:r>
      <w:proofErr w:type="spellEnd"/>
      <w:r w:rsidRPr="00F95B51"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 xml:space="preserve"> </w:t>
      </w:r>
      <w:proofErr w:type="spellStart"/>
      <w:r w:rsidRPr="00F95B51"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>educativo</w:t>
      </w:r>
      <w:proofErr w:type="spellEnd"/>
      <w:r w:rsidRPr="00F95B51"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>argentino</w:t>
      </w:r>
      <w:proofErr w:type="spellEnd"/>
      <w:r>
        <w:rPr>
          <w:rFonts w:ascii="Arial" w:eastAsia="Times New Roman" w:hAnsi="Arial" w:cs="Arial"/>
          <w:b/>
          <w:bCs/>
          <w:color w:val="23242B"/>
          <w:spacing w:val="2"/>
          <w:kern w:val="36"/>
          <w:sz w:val="40"/>
          <w:szCs w:val="40"/>
        </w:rPr>
        <w:t>?</w:t>
      </w:r>
    </w:p>
    <w:p w14:paraId="3F685858" w14:textId="77777777" w:rsidR="00F95B51" w:rsidRPr="00F95B51" w:rsidRDefault="00F95B51" w:rsidP="00F95B5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3242B"/>
          <w:sz w:val="19"/>
          <w:szCs w:val="19"/>
        </w:rPr>
      </w:pPr>
      <w:r w:rsidRPr="00F95B51">
        <w:rPr>
          <w:rFonts w:ascii="inherit" w:eastAsia="Times New Roman" w:hAnsi="inherit" w:cs="Arial"/>
          <w:color w:val="23242B"/>
          <w:sz w:val="19"/>
          <w:szCs w:val="19"/>
        </w:rPr>
        <w:t xml:space="preserve"> 09 de </w:t>
      </w:r>
      <w:proofErr w:type="spellStart"/>
      <w:r w:rsidRPr="00F95B51">
        <w:rPr>
          <w:rFonts w:ascii="inherit" w:eastAsia="Times New Roman" w:hAnsi="inherit" w:cs="Arial"/>
          <w:color w:val="23242B"/>
          <w:sz w:val="19"/>
          <w:szCs w:val="19"/>
        </w:rPr>
        <w:t>julio</w:t>
      </w:r>
      <w:proofErr w:type="spellEnd"/>
      <w:r w:rsidRPr="00F95B51">
        <w:rPr>
          <w:rFonts w:ascii="inherit" w:eastAsia="Times New Roman" w:hAnsi="inherit" w:cs="Arial"/>
          <w:color w:val="23242B"/>
          <w:sz w:val="19"/>
          <w:szCs w:val="19"/>
        </w:rPr>
        <w:t xml:space="preserve"> de 2019     </w:t>
      </w:r>
    </w:p>
    <w:p w14:paraId="21120D0D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23242B"/>
          <w:sz w:val="29"/>
          <w:szCs w:val="29"/>
        </w:rPr>
      </w:pP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actualidad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, el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sistema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educativo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argentino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está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regulado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por la </w:t>
      </w:r>
      <w:hyperlink r:id="rId5" w:tgtFrame="_blank" w:history="1">
        <w:r w:rsidRPr="00F95B51">
          <w:rPr>
            <w:rFonts w:ascii="Arial" w:eastAsia="Times New Roman" w:hAnsi="Arial" w:cs="Arial"/>
            <w:color w:val="FF0000"/>
            <w:sz w:val="29"/>
            <w:szCs w:val="29"/>
            <w:u w:val="single"/>
            <w:bdr w:val="none" w:sz="0" w:space="0" w:color="auto" w:frame="1"/>
          </w:rPr>
          <w:t xml:space="preserve">Ley Nacional de </w:t>
        </w:r>
        <w:proofErr w:type="spellStart"/>
        <w:r w:rsidRPr="00F95B51">
          <w:rPr>
            <w:rFonts w:ascii="Arial" w:eastAsia="Times New Roman" w:hAnsi="Arial" w:cs="Arial"/>
            <w:color w:val="FF0000"/>
            <w:sz w:val="29"/>
            <w:szCs w:val="29"/>
            <w:u w:val="single"/>
            <w:bdr w:val="none" w:sz="0" w:space="0" w:color="auto" w:frame="1"/>
          </w:rPr>
          <w:t>Educación</w:t>
        </w:r>
        <w:proofErr w:type="spellEnd"/>
        <w:r w:rsidRPr="00F95B51">
          <w:rPr>
            <w:rFonts w:ascii="Arial" w:eastAsia="Times New Roman" w:hAnsi="Arial" w:cs="Arial"/>
            <w:color w:val="FF0000"/>
            <w:sz w:val="29"/>
            <w:szCs w:val="29"/>
            <w:u w:val="single"/>
            <w:bdr w:val="none" w:sz="0" w:space="0" w:color="auto" w:frame="1"/>
          </w:rPr>
          <w:t xml:space="preserve"> 26.206</w:t>
        </w:r>
      </w:hyperlink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 del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año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2006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la que se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establece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que el Estado es el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responsable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garantizar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que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haya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igualdad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y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gratuidad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la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enseñanza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todo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 xml:space="preserve"> el </w:t>
      </w:r>
      <w:proofErr w:type="spellStart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país</w:t>
      </w:r>
      <w:proofErr w:type="spellEnd"/>
      <w:r w:rsidRPr="00F95B51">
        <w:rPr>
          <w:rFonts w:ascii="inherit" w:eastAsia="Times New Roman" w:hAnsi="inherit" w:cs="Arial"/>
          <w:color w:val="23242B"/>
          <w:sz w:val="29"/>
          <w:szCs w:val="29"/>
          <w:bdr w:val="none" w:sz="0" w:space="0" w:color="auto" w:frame="1"/>
        </w:rPr>
        <w:t>. </w:t>
      </w:r>
    </w:p>
    <w:p w14:paraId="1A00D701" w14:textId="5BEBD5DB" w:rsidR="00F95B51" w:rsidRPr="00F95B51" w:rsidRDefault="00F95B51" w:rsidP="00F95B51">
      <w:pPr>
        <w:shd w:val="clear" w:color="auto" w:fill="FFFFFF"/>
        <w:spacing w:after="0" w:line="369" w:lineRule="atLeast"/>
        <w:textAlignment w:val="baseline"/>
        <w:rPr>
          <w:rFonts w:ascii="inherit" w:eastAsia="Times New Roman" w:hAnsi="inherit" w:cs="Arial"/>
          <w:i/>
          <w:iCs/>
          <w:color w:val="23242B"/>
          <w:sz w:val="19"/>
          <w:szCs w:val="19"/>
        </w:rPr>
      </w:pPr>
    </w:p>
    <w:p w14:paraId="2D44FB0F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Toda la población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tiene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derecho </w:t>
      </w:r>
      <w:proofErr w:type="gram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</w:t>
      </w:r>
      <w:proofErr w:type="gram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acceder a una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calidad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para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garantizar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igualdad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oportunidades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. El Estado es el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encargado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generar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las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condiciones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necesarias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para que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sea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así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por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ejemplo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unificando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los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contenidos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y la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organización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del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sistema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educativo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para que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sea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igual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todas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las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escuelas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del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país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.</w:t>
      </w:r>
    </w:p>
    <w:p w14:paraId="4A60430B" w14:textId="77777777" w:rsidR="00F95B51" w:rsidRPr="00F95B51" w:rsidRDefault="00F95B51" w:rsidP="00F95B51">
      <w:pPr>
        <w:shd w:val="clear" w:color="auto" w:fill="FFFFFF"/>
        <w:spacing w:before="330" w:after="192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</w:pPr>
      <w:proofErr w:type="spellStart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>Pilares</w:t>
      </w:r>
      <w:proofErr w:type="spellEnd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>fundamentales</w:t>
      </w:r>
      <w:proofErr w:type="spellEnd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 xml:space="preserve"> del </w:t>
      </w:r>
      <w:proofErr w:type="spellStart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>sistema</w:t>
      </w:r>
      <w:proofErr w:type="spellEnd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>educativo</w:t>
      </w:r>
      <w:proofErr w:type="spellEnd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>argentino</w:t>
      </w:r>
      <w:proofErr w:type="spellEnd"/>
    </w:p>
    <w:p w14:paraId="69F8D99B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r w:rsidRPr="00F95B51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</w:rPr>
        <w:t xml:space="preserve">1. </w:t>
      </w:r>
      <w:proofErr w:type="spellStart"/>
      <w:r w:rsidRPr="00F95B51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</w:rPr>
        <w:t>Integración</w:t>
      </w:r>
      <w:proofErr w:type="spellEnd"/>
    </w:p>
    <w:p w14:paraId="0AC0FCA2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El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sistema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educativo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argentino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es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integrado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ya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que es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igual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para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todas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las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escuelas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del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país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independientemente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 la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ubicación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geográfica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género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etnia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u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origen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 los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alumnos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Además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se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articulan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los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niveles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y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modalidades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para que los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estudiantes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puedan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si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así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desean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cambiarse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 un colegio </w:t>
      </w:r>
      <w:proofErr w:type="gram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</w:t>
      </w:r>
      <w:proofErr w:type="gram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otro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. Por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último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, la </w:t>
      </w:r>
      <w:hyperlink r:id="rId6" w:tgtFrame="_blank" w:history="1">
        <w:r w:rsidRPr="00F95B51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</w:rPr>
          <w:t xml:space="preserve">Ley de </w:t>
        </w:r>
        <w:proofErr w:type="spellStart"/>
        <w:r w:rsidRPr="00F95B51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</w:rPr>
          <w:t>Educación</w:t>
        </w:r>
        <w:proofErr w:type="spellEnd"/>
        <w:r w:rsidRPr="00F95B51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</w:rPr>
          <w:t xml:space="preserve"> Nacional 26.206</w:t>
        </w:r>
      </w:hyperlink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 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otorga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validez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nacional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todos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los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títulos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otorgados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por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instituciones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nivel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inicial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primario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secundario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superior y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universitario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.</w:t>
      </w:r>
    </w:p>
    <w:p w14:paraId="28A886DB" w14:textId="77777777" w:rsidR="00F95B51" w:rsidRPr="00F95B51" w:rsidRDefault="00F95B51" w:rsidP="00F95B51">
      <w:pPr>
        <w:shd w:val="clear" w:color="auto" w:fill="FFFFFF"/>
        <w:spacing w:before="288"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r w:rsidRPr="00F95B51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</w:rPr>
        <w:t xml:space="preserve">2. </w:t>
      </w:r>
      <w:proofErr w:type="spellStart"/>
      <w:r w:rsidRPr="00F95B51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</w:rPr>
        <w:t>Financiamiento</w:t>
      </w:r>
      <w:proofErr w:type="spellEnd"/>
      <w:r w:rsidRPr="00F95B51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</w:rPr>
        <w:t>estatal</w:t>
      </w:r>
      <w:proofErr w:type="spellEnd"/>
      <w:r w:rsidRPr="00F95B51">
        <w:rPr>
          <w:rFonts w:ascii="inherit" w:eastAsia="Times New Roman" w:hAnsi="inherit" w:cs="Arial"/>
          <w:b/>
          <w:bCs/>
          <w:color w:val="666565"/>
          <w:sz w:val="27"/>
          <w:szCs w:val="27"/>
          <w:bdr w:val="none" w:sz="0" w:space="0" w:color="auto" w:frame="1"/>
        </w:rPr>
        <w:t> </w:t>
      </w:r>
    </w:p>
    <w:p w14:paraId="644A3548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De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acuerdo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con lo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establecido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la </w:t>
      </w:r>
      <w:hyperlink r:id="rId7" w:tgtFrame="_blank" w:history="1">
        <w:r w:rsidRPr="00F95B51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</w:rPr>
          <w:t xml:space="preserve">Ley de </w:t>
        </w:r>
        <w:proofErr w:type="spellStart"/>
        <w:r w:rsidRPr="00F95B51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</w:rPr>
          <w:t>Financiamiento</w:t>
        </w:r>
        <w:proofErr w:type="spellEnd"/>
        <w:r w:rsidRPr="00F95B51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</w:rPr>
          <w:t xml:space="preserve"> </w:t>
        </w:r>
        <w:proofErr w:type="spellStart"/>
        <w:r w:rsidRPr="00F95B51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</w:rPr>
          <w:t>Educativo</w:t>
        </w:r>
        <w:proofErr w:type="spellEnd"/>
        <w:r w:rsidRPr="00F95B51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  <w:bdr w:val="none" w:sz="0" w:space="0" w:color="auto" w:frame="1"/>
          </w:rPr>
          <w:t xml:space="preserve"> 26.075</w:t>
        </w:r>
      </w:hyperlink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 de 2005, el Estado Nacional, las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provincias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y la Ciudad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Autónoma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 Buenos Aires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deben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garantizar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un 6% de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su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producto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bruto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interno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(PBI) para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financiar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el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sistema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educativo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estatal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. </w:t>
      </w:r>
    </w:p>
    <w:p w14:paraId="0DEAEE11" w14:textId="77777777" w:rsidR="00F95B51" w:rsidRPr="00F95B51" w:rsidRDefault="00F95B51" w:rsidP="00F95B51">
      <w:pPr>
        <w:shd w:val="clear" w:color="auto" w:fill="FFFFFF"/>
        <w:spacing w:after="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</w:pPr>
      <w:proofErr w:type="spellStart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>Niveles</w:t>
      </w:r>
      <w:proofErr w:type="spellEnd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F95B51">
        <w:rPr>
          <w:rFonts w:ascii="Arial" w:eastAsia="Times New Roman" w:hAnsi="Arial" w:cs="Arial"/>
          <w:b/>
          <w:bCs/>
          <w:color w:val="23242B"/>
          <w:sz w:val="28"/>
          <w:szCs w:val="28"/>
          <w:bdr w:val="none" w:sz="0" w:space="0" w:color="auto" w:frame="1"/>
        </w:rPr>
        <w:t>modalidades</w:t>
      </w:r>
      <w:proofErr w:type="spellEnd"/>
    </w:p>
    <w:p w14:paraId="08BBACAA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De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acuerdo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con el 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fldChar w:fldCharType="begin"/>
      </w: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instrText xml:space="preserve"> HYPERLINK "https://www.argentina.gob.ar/educacion" \t "_blank" </w:instrText>
      </w: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fldChar w:fldCharType="separate"/>
      </w:r>
      <w:r w:rsidRPr="00F95B5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bdr w:val="none" w:sz="0" w:space="0" w:color="auto" w:frame="1"/>
        </w:rPr>
        <w:t>Ministerio</w:t>
      </w:r>
      <w:proofErr w:type="spellEnd"/>
      <w:r w:rsidRPr="00F95B5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bdr w:val="none" w:sz="0" w:space="0" w:color="auto" w:frame="1"/>
        </w:rPr>
        <w:t xml:space="preserve"> de </w:t>
      </w:r>
      <w:proofErr w:type="spellStart"/>
      <w:r w:rsidRPr="00F95B5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fldChar w:fldCharType="end"/>
      </w: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el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sistema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educativo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argentino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está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dividido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4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niveles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y 8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modalidades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:</w:t>
      </w:r>
    </w:p>
    <w:p w14:paraId="22DBA8DC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Los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niveles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son: </w:t>
      </w:r>
    </w:p>
    <w:p w14:paraId="5FE9D51D" w14:textId="77777777" w:rsidR="00F95B51" w:rsidRPr="00F95B51" w:rsidRDefault="00F95B51" w:rsidP="00F95B51">
      <w:pPr>
        <w:numPr>
          <w:ilvl w:val="0"/>
          <w:numId w:val="1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r w:rsidRPr="00F95B51">
        <w:rPr>
          <w:rFonts w:ascii="inherit" w:eastAsia="Times New Roman" w:hAnsi="inherit" w:cs="Arial"/>
          <w:b/>
          <w:bCs/>
          <w:color w:val="666565"/>
          <w:sz w:val="25"/>
          <w:szCs w:val="25"/>
          <w:bdr w:val="none" w:sz="0" w:space="0" w:color="auto" w:frame="1"/>
        </w:rPr>
        <w:t xml:space="preserve">Nivel </w:t>
      </w:r>
      <w:proofErr w:type="spellStart"/>
      <w:r w:rsidRPr="00F95B51">
        <w:rPr>
          <w:rFonts w:ascii="inherit" w:eastAsia="Times New Roman" w:hAnsi="inherit" w:cs="Arial"/>
          <w:b/>
          <w:bCs/>
          <w:color w:val="666565"/>
          <w:sz w:val="25"/>
          <w:szCs w:val="25"/>
          <w:bdr w:val="none" w:sz="0" w:space="0" w:color="auto" w:frame="1"/>
        </w:rPr>
        <w:t>inicial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: 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desde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los 45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días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a los 5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años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edad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. Es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obligatorio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desde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los 5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años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edad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o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último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año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jardín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.</w:t>
      </w:r>
    </w:p>
    <w:p w14:paraId="28A1A788" w14:textId="77777777" w:rsidR="00F95B51" w:rsidRPr="00F95B51" w:rsidRDefault="00F95B51" w:rsidP="00F95B51">
      <w:pPr>
        <w:numPr>
          <w:ilvl w:val="0"/>
          <w:numId w:val="1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r w:rsidRPr="00F95B51">
        <w:rPr>
          <w:rFonts w:ascii="inherit" w:eastAsia="Times New Roman" w:hAnsi="inherit" w:cs="Arial"/>
          <w:b/>
          <w:bCs/>
          <w:color w:val="666565"/>
          <w:sz w:val="25"/>
          <w:szCs w:val="25"/>
          <w:bdr w:val="none" w:sz="0" w:space="0" w:color="auto" w:frame="1"/>
        </w:rPr>
        <w:t xml:space="preserve">Nivel </w:t>
      </w:r>
      <w:proofErr w:type="spellStart"/>
      <w:r w:rsidRPr="00F95B51">
        <w:rPr>
          <w:rFonts w:ascii="inherit" w:eastAsia="Times New Roman" w:hAnsi="inherit" w:cs="Arial"/>
          <w:b/>
          <w:bCs/>
          <w:color w:val="666565"/>
          <w:sz w:val="25"/>
          <w:szCs w:val="25"/>
          <w:bdr w:val="none" w:sz="0" w:space="0" w:color="auto" w:frame="1"/>
        </w:rPr>
        <w:t>primario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: 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desde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los 6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años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hasta,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aproximadamente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los 11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años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edad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.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Está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dividido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dentro de dos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unidades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pedagógicas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(primer,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segundo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y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tercer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grado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y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luego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cuarto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quinto y sexto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grado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). Es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obligatorio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.</w:t>
      </w:r>
    </w:p>
    <w:p w14:paraId="5CA4D8C2" w14:textId="77777777" w:rsidR="00F95B51" w:rsidRPr="00F95B51" w:rsidRDefault="00F95B51" w:rsidP="00F95B51">
      <w:pPr>
        <w:numPr>
          <w:ilvl w:val="0"/>
          <w:numId w:val="1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r w:rsidRPr="00F95B51">
        <w:rPr>
          <w:rFonts w:ascii="inherit" w:eastAsia="Times New Roman" w:hAnsi="inherit" w:cs="Arial"/>
          <w:b/>
          <w:bCs/>
          <w:color w:val="666565"/>
          <w:sz w:val="25"/>
          <w:szCs w:val="25"/>
          <w:bdr w:val="none" w:sz="0" w:space="0" w:color="auto" w:frame="1"/>
        </w:rPr>
        <w:t xml:space="preserve">Nivel </w:t>
      </w:r>
      <w:proofErr w:type="spellStart"/>
      <w:r w:rsidRPr="00F95B51">
        <w:rPr>
          <w:rFonts w:ascii="inherit" w:eastAsia="Times New Roman" w:hAnsi="inherit" w:cs="Arial"/>
          <w:b/>
          <w:bCs/>
          <w:color w:val="666565"/>
          <w:sz w:val="25"/>
          <w:szCs w:val="25"/>
          <w:bdr w:val="none" w:sz="0" w:space="0" w:color="auto" w:frame="1"/>
        </w:rPr>
        <w:t>secundario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: 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desde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los 12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años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edad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hasta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su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finalización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. Al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igual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que el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nivel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primario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está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dividido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dos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unidades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pedagógicas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(primer,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segundo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y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tercer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grado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y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luego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cuarto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quinto y sexto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grado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).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la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primera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unidad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se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ven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los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conocimientos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básicos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y,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la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segunda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la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orientación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que el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alumno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elija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. Este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nivel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también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es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obligatorio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.</w:t>
      </w:r>
    </w:p>
    <w:p w14:paraId="3B1C67D6" w14:textId="77777777" w:rsidR="00F95B51" w:rsidRPr="00F95B51" w:rsidRDefault="00F95B51" w:rsidP="00F95B51">
      <w:pPr>
        <w:numPr>
          <w:ilvl w:val="0"/>
          <w:numId w:val="1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r w:rsidRPr="00F95B51">
        <w:rPr>
          <w:rFonts w:ascii="inherit" w:eastAsia="Times New Roman" w:hAnsi="inherit" w:cs="Arial"/>
          <w:b/>
          <w:bCs/>
          <w:color w:val="666565"/>
          <w:sz w:val="25"/>
          <w:szCs w:val="25"/>
          <w:bdr w:val="none" w:sz="0" w:space="0" w:color="auto" w:frame="1"/>
        </w:rPr>
        <w:lastRenderedPageBreak/>
        <w:t>Nivel superior</w:t>
      </w:r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: 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comprende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todos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los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estudios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superiores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instituciones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universitarias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públicas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o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privadas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, de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formación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superior o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terciarios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. No es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obligatorio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completar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este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nivel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y la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duración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depende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de lo que se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estudie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. Las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universidades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estatles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argentinas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tienen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mucho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reconocimiento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a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nivel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mundial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por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su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excelencia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. </w:t>
      </w:r>
    </w:p>
    <w:p w14:paraId="4BC86305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Por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otro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lado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las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modalidades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son las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opciones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que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existen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dentro de la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común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que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proponen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soluciones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contextos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específicos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para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garantizar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que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todos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tengan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acceso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a la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. Las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modalidades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son:</w:t>
      </w:r>
    </w:p>
    <w:p w14:paraId="618B8E55" w14:textId="77777777" w:rsidR="00F95B51" w:rsidRPr="00F95B51" w:rsidRDefault="00F95B51" w:rsidP="00F95B51">
      <w:pPr>
        <w:numPr>
          <w:ilvl w:val="0"/>
          <w:numId w:val="2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técnica-profesional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,</w:t>
      </w:r>
    </w:p>
    <w:p w14:paraId="41E032B6" w14:textId="77777777" w:rsidR="00F95B51" w:rsidRPr="00F95B51" w:rsidRDefault="00F95B51" w:rsidP="00F95B51">
      <w:pPr>
        <w:numPr>
          <w:ilvl w:val="0"/>
          <w:numId w:val="2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artística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,</w:t>
      </w:r>
    </w:p>
    <w:p w14:paraId="5106562B" w14:textId="77777777" w:rsidR="00F95B51" w:rsidRPr="00F95B51" w:rsidRDefault="00F95B51" w:rsidP="00F95B51">
      <w:pPr>
        <w:numPr>
          <w:ilvl w:val="0"/>
          <w:numId w:val="2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especial,</w:t>
      </w:r>
    </w:p>
    <w:p w14:paraId="7B249898" w14:textId="77777777" w:rsidR="00F95B51" w:rsidRPr="00F95B51" w:rsidRDefault="00F95B51" w:rsidP="00F95B51">
      <w:pPr>
        <w:numPr>
          <w:ilvl w:val="0"/>
          <w:numId w:val="2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permanente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de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adultos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y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jóvenes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,</w:t>
      </w:r>
    </w:p>
    <w:p w14:paraId="45FEEB6A" w14:textId="77777777" w:rsidR="00F95B51" w:rsidRPr="00F95B51" w:rsidRDefault="00F95B51" w:rsidP="00F95B51">
      <w:pPr>
        <w:numPr>
          <w:ilvl w:val="0"/>
          <w:numId w:val="2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rural,</w:t>
      </w:r>
    </w:p>
    <w:p w14:paraId="5F9A266F" w14:textId="77777777" w:rsidR="00F95B51" w:rsidRPr="00F95B51" w:rsidRDefault="00F95B51" w:rsidP="00F95B51">
      <w:pPr>
        <w:numPr>
          <w:ilvl w:val="0"/>
          <w:numId w:val="2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bilingüe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,</w:t>
      </w:r>
    </w:p>
    <w:p w14:paraId="37C163DD" w14:textId="77777777" w:rsidR="00F95B51" w:rsidRPr="00F95B51" w:rsidRDefault="00F95B51" w:rsidP="00F95B51">
      <w:pPr>
        <w:numPr>
          <w:ilvl w:val="0"/>
          <w:numId w:val="2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la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cárcel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, </w:t>
      </w:r>
    </w:p>
    <w:p w14:paraId="1120F293" w14:textId="77777777" w:rsidR="00F95B51" w:rsidRPr="00F95B51" w:rsidRDefault="00F95B51" w:rsidP="00F95B51">
      <w:pPr>
        <w:numPr>
          <w:ilvl w:val="0"/>
          <w:numId w:val="2"/>
        </w:numPr>
        <w:shd w:val="clear" w:color="auto" w:fill="FFFFFF"/>
        <w:spacing w:after="0" w:line="368" w:lineRule="atLeast"/>
        <w:ind w:left="300"/>
        <w:textAlignment w:val="baseline"/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domiciliaria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 xml:space="preserve"> u </w:t>
      </w:r>
      <w:proofErr w:type="spellStart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hospitalaria</w:t>
      </w:r>
      <w:proofErr w:type="spellEnd"/>
      <w:r w:rsidRPr="00F95B51">
        <w:rPr>
          <w:rFonts w:ascii="inherit" w:eastAsia="Times New Roman" w:hAnsi="inherit" w:cs="Arial"/>
          <w:color w:val="666565"/>
          <w:sz w:val="25"/>
          <w:szCs w:val="25"/>
          <w:bdr w:val="none" w:sz="0" w:space="0" w:color="auto" w:frame="1"/>
        </w:rPr>
        <w:t>.</w:t>
      </w:r>
    </w:p>
    <w:p w14:paraId="3806AA59" w14:textId="77777777" w:rsidR="00F95B51" w:rsidRPr="00F95B51" w:rsidRDefault="00F95B51" w:rsidP="00F95B51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</w:pP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Ciertamente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el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sistema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educativo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no es perfecto,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tiene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sus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fallas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como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cualquier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otro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. Sin embargo,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muchos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países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han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intentado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trasladar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algunas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de las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características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a sus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propios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sistemas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educativos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. La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educación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argentina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se ha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mantenido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desde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sus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orígenes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gratuita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inclusiva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 xml:space="preserve"> y de </w:t>
      </w:r>
      <w:proofErr w:type="spellStart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calidad</w:t>
      </w:r>
      <w:proofErr w:type="spellEnd"/>
      <w:r w:rsidRPr="00F95B51">
        <w:rPr>
          <w:rFonts w:ascii="inherit" w:eastAsia="Times New Roman" w:hAnsi="inherit" w:cs="Arial"/>
          <w:color w:val="666565"/>
          <w:sz w:val="27"/>
          <w:szCs w:val="27"/>
          <w:bdr w:val="none" w:sz="0" w:space="0" w:color="auto" w:frame="1"/>
        </w:rPr>
        <w:t>.</w:t>
      </w:r>
    </w:p>
    <w:p w14:paraId="72C1F3F7" w14:textId="2960CCA6" w:rsidR="001F1979" w:rsidRDefault="001F1979"/>
    <w:p w14:paraId="0197D77F" w14:textId="3932D8C9" w:rsidR="00FD1502" w:rsidRDefault="00FD1502"/>
    <w:p w14:paraId="6EB372F5" w14:textId="666A2935" w:rsidR="00FD1502" w:rsidRPr="00B847D6" w:rsidRDefault="00FD1502">
      <w:pPr>
        <w:rPr>
          <w:b/>
          <w:bCs/>
          <w:sz w:val="32"/>
          <w:szCs w:val="32"/>
        </w:rPr>
      </w:pPr>
      <w:r w:rsidRPr="00B847D6">
        <w:rPr>
          <w:b/>
          <w:bCs/>
          <w:sz w:val="32"/>
          <w:szCs w:val="32"/>
        </w:rPr>
        <w:t>Homeschooling</w:t>
      </w:r>
    </w:p>
    <w:p w14:paraId="68DE52D8" w14:textId="77777777" w:rsidR="00FD1502" w:rsidRPr="00FD1502" w:rsidRDefault="00FD1502" w:rsidP="00FD150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FD1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Compulsory Education Ages:</w:t>
      </w:r>
      <w:r w:rsidRPr="00FD1502">
        <w:rPr>
          <w:rFonts w:ascii="Trebuchet MS" w:eastAsia="Times New Roman" w:hAnsi="Trebuchet MS" w:cs="Times New Roman"/>
          <w:color w:val="000000"/>
          <w:sz w:val="20"/>
          <w:szCs w:val="20"/>
        </w:rPr>
        <w:t> 5-17</w:t>
      </w:r>
    </w:p>
    <w:p w14:paraId="341D2813" w14:textId="77777777" w:rsidR="00FD1502" w:rsidRPr="00FD1502" w:rsidRDefault="00FD1502" w:rsidP="00FD15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FD1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Legal Status:</w:t>
      </w: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There is no legislation that expressly prohibits homeschooling. According to Articles 264 and 265 of the Civil Code of Argentina </w:t>
      </w:r>
      <w:r w:rsidRPr="00FD15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shd w:val="clear" w:color="auto" w:fill="FFFFFF"/>
        </w:rPr>
        <w:t xml:space="preserve">(Código Civil de la </w:t>
      </w:r>
      <w:proofErr w:type="spellStart"/>
      <w:r w:rsidRPr="00FD15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shd w:val="clear" w:color="auto" w:fill="FFFFFF"/>
        </w:rPr>
        <w:t>República</w:t>
      </w:r>
      <w:proofErr w:type="spellEnd"/>
      <w:r w:rsidRPr="00FD15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shd w:val="clear" w:color="auto" w:fill="FFFFFF"/>
        </w:rPr>
        <w:t xml:space="preserve"> Argentina)</w:t>
      </w: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, as well as Articles 6 and 128 of the National Education Act </w:t>
      </w:r>
      <w:r w:rsidRPr="00FD15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shd w:val="clear" w:color="auto" w:fill="FFFFFF"/>
        </w:rPr>
        <w:t>(Ley 26.206)</w:t>
      </w: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, parents and the family are primary agents in the lives of children. These laws state that</w:t>
      </w:r>
    </w:p>
    <w:p w14:paraId="5D972130" w14:textId="77777777" w:rsidR="00FD1502" w:rsidRPr="00FD1502" w:rsidRDefault="00FD1502" w:rsidP="00FD1502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Minor children are under the authority and care of parents</w:t>
      </w:r>
    </w:p>
    <w:p w14:paraId="09E128CD" w14:textId="77777777" w:rsidR="00FD1502" w:rsidRPr="00FD1502" w:rsidRDefault="00FD1502" w:rsidP="00FD1502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Parents have the duty and the right to raise, support, and educate their children</w:t>
      </w:r>
    </w:p>
    <w:p w14:paraId="1DE6E557" w14:textId="77777777" w:rsidR="00FD1502" w:rsidRPr="00FD1502" w:rsidRDefault="00FD1502" w:rsidP="00FD1502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The State guarantees the constitutional right to teach and learn</w:t>
      </w:r>
    </w:p>
    <w:p w14:paraId="3DF8FC2B" w14:textId="77777777" w:rsidR="00FD1502" w:rsidRPr="00FD1502" w:rsidRDefault="00FD1502" w:rsidP="00FD1502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The family is a natural and primary agent in the education of children</w:t>
      </w:r>
    </w:p>
    <w:p w14:paraId="13EED4FE" w14:textId="77777777" w:rsidR="00FD1502" w:rsidRPr="00FD1502" w:rsidRDefault="00FD1502" w:rsidP="00FD1502">
      <w:pPr>
        <w:numPr>
          <w:ilvl w:val="0"/>
          <w:numId w:val="3"/>
        </w:numP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Parents have the right to choose an educational institution that corresponds to their philosophical, ethical or religious convictions.</w:t>
      </w:r>
    </w:p>
    <w:p w14:paraId="4C6DBFCE" w14:textId="77777777" w:rsidR="00FD1502" w:rsidRPr="00FD1502" w:rsidRDefault="00FD1502" w:rsidP="00FD1502">
      <w:pPr>
        <w:spacing w:before="240"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Homeschoolers attempted to have home education included in the 2006 review of the education </w:t>
      </w:r>
      <w:proofErr w:type="gramStart"/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law, but</w:t>
      </w:r>
      <w:proofErr w:type="gramEnd"/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 xml:space="preserve"> were unsuccessful in their efforts. Homeschooling is not yet formally recognized as an alternative form of education. This makes it difficult for homeschoolers to obtain academic certificates and diplomas.</w:t>
      </w:r>
    </w:p>
    <w:p w14:paraId="29643022" w14:textId="77777777" w:rsidR="00FD1502" w:rsidRPr="00FD1502" w:rsidRDefault="00FD1502" w:rsidP="00FD15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</w:pPr>
      <w:r w:rsidRPr="00FD15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Country needs:</w:t>
      </w:r>
      <w:r w:rsidRPr="00FD1502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</w:rPr>
        <w:t> Authorities who are willing to interpret Argentine laws in favor of homeschooling. Homeschool support organizations. Pro-homeschool curriculum and study materials.</w:t>
      </w:r>
    </w:p>
    <w:p w14:paraId="11BBCED1" w14:textId="77777777" w:rsidR="00FD1502" w:rsidRDefault="00FD1502">
      <w:bookmarkStart w:id="0" w:name="_GoBack"/>
      <w:bookmarkEnd w:id="0"/>
    </w:p>
    <w:sectPr w:rsidR="00FD1502" w:rsidSect="00F95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7C7"/>
    <w:multiLevelType w:val="multilevel"/>
    <w:tmpl w:val="224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16410"/>
    <w:multiLevelType w:val="multilevel"/>
    <w:tmpl w:val="EB8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A0B04"/>
    <w:multiLevelType w:val="multilevel"/>
    <w:tmpl w:val="8F9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51"/>
    <w:rsid w:val="001F1979"/>
    <w:rsid w:val="00B847D6"/>
    <w:rsid w:val="00F95B51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0AD5"/>
  <w15:chartTrackingRefBased/>
  <w15:docId w15:val="{F9668172-092F-4A9F-9608-E1F26C4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1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70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96">
              <w:marLeft w:val="-300"/>
              <w:marRight w:val="-30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ios.abc.gov.ar/lainstitucion/revistacomponents/revista/archivos/anales/numero07/archivosparaimprimir/7_financiamiento_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validez-nacional-de-titulos/ley-de-educacion-nacional-ndeg-26206" TargetMode="External"/><Relationship Id="rId5" Type="http://schemas.openxmlformats.org/officeDocument/2006/relationships/hyperlink" Target="https://www.argentina.gob.ar/validez-nacional-de-titulos/ley-de-educacion-nacional-ndeg-262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¿Cómo es el sistema educativo argentino?</vt:lpstr>
      <vt:lpstr>    Pilares fundamentales del sistema educativo argentino</vt:lpstr>
      <vt:lpstr>    Niveles y modalidades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4</cp:revision>
  <dcterms:created xsi:type="dcterms:W3CDTF">2020-03-06T20:38:00Z</dcterms:created>
  <dcterms:modified xsi:type="dcterms:W3CDTF">2020-03-06T20:52:00Z</dcterms:modified>
</cp:coreProperties>
</file>